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color w:val="0056d5"/>
          <w:sz w:val="26"/>
          <w:szCs w:val="26"/>
          <w:u w:val="single"/>
        </w:rPr>
      </w:pPr>
      <w:r>
        <w:rPr>
          <w:b w:val="1"/>
          <w:bCs w:val="1"/>
          <w:color w:val="0056d5"/>
          <w:sz w:val="26"/>
          <w:szCs w:val="26"/>
          <w:u w:val="single"/>
          <w:rtl w:val="0"/>
          <w:lang w:val="en-US"/>
        </w:rPr>
        <w:t>Credit Card Terms and Definitions</w:t>
      </w:r>
    </w:p>
    <w:p>
      <w:pPr>
        <w:pStyle w:val="Body"/>
        <w:rPr>
          <w:b w:val="1"/>
          <w:bCs w:val="1"/>
          <w:sz w:val="20"/>
          <w:szCs w:val="20"/>
          <w:u w:val="single"/>
        </w:rPr>
      </w:pPr>
    </w:p>
    <w:p>
      <w:pPr>
        <w:pStyle w:val="Body"/>
        <w:rPr>
          <w:b w:val="1"/>
          <w:bCs w:val="1"/>
          <w:sz w:val="20"/>
          <w:szCs w:val="20"/>
          <w:u w:val="single"/>
        </w:rPr>
      </w:pPr>
      <w:r>
        <w:rPr>
          <w:b w:val="1"/>
          <w:bCs w:val="1"/>
          <w:sz w:val="20"/>
          <w:szCs w:val="20"/>
          <w:u w:val="single"/>
          <w:rtl w:val="0"/>
          <w:lang w:val="en-US"/>
        </w:rPr>
        <w:t>Statement Vocabulary</w:t>
      </w: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Credit Limit -</w:t>
      </w: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Available Credit - </w:t>
      </w: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Minimum Payment</w:t>
      </w: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Current Balance - </w:t>
      </w: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Payment Due Date</w:t>
      </w: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  <w:u w:val="single"/>
        </w:rPr>
      </w:pPr>
      <w:r>
        <w:rPr>
          <w:b w:val="1"/>
          <w:bCs w:val="1"/>
          <w:sz w:val="20"/>
          <w:szCs w:val="20"/>
          <w:u w:val="single"/>
          <w:rtl w:val="0"/>
          <w:lang w:val="en-US"/>
        </w:rPr>
        <w:t>Credit Card Terms and Conditions</w:t>
      </w:r>
    </w:p>
    <w:p>
      <w:pPr>
        <w:pStyle w:val="Body"/>
        <w:rPr>
          <w:b w:val="1"/>
          <w:bCs w:val="1"/>
          <w:color w:val="0056d5"/>
          <w:sz w:val="20"/>
          <w:szCs w:val="20"/>
          <w:u w:val="single"/>
        </w:rPr>
      </w:pPr>
    </w:p>
    <w:p>
      <w:pPr>
        <w:pStyle w:val="Body"/>
        <w:rPr>
          <w:b w:val="1"/>
          <w:bCs w:val="1"/>
          <w:color w:val="0056d5"/>
          <w:sz w:val="20"/>
          <w:szCs w:val="20"/>
          <w:u w:val="single"/>
        </w:rPr>
      </w:pPr>
      <w:r>
        <w:rPr>
          <w:b w:val="1"/>
          <w:bCs w:val="1"/>
          <w:color w:val="0056d5"/>
          <w:sz w:val="20"/>
          <w:szCs w:val="20"/>
          <w:u w:val="single"/>
          <w:rtl w:val="0"/>
          <w:lang w:val="de-DE"/>
        </w:rPr>
        <w:t>Interest Rates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</w:rPr>
        <w:t>APR</w:t>
      </w:r>
      <w:r>
        <w:rPr>
          <w:sz w:val="20"/>
          <w:szCs w:val="20"/>
          <w:rtl w:val="0"/>
        </w:rPr>
        <w:t xml:space="preserve"> - 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  <w:lang w:val="en-US"/>
        </w:rPr>
        <w:t>Purchase APR</w:t>
      </w:r>
      <w:r>
        <w:rPr>
          <w:sz w:val="20"/>
          <w:szCs w:val="20"/>
          <w:rtl w:val="0"/>
        </w:rPr>
        <w:t xml:space="preserve"> - 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  <w:lang w:val="en-US"/>
        </w:rPr>
        <w:t>Introductory APR</w:t>
      </w:r>
      <w:r>
        <w:rPr>
          <w:sz w:val="20"/>
          <w:szCs w:val="20"/>
          <w:rtl w:val="0"/>
        </w:rPr>
        <w:t xml:space="preserve"> -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</w:rPr>
        <w:t>Penalty APR</w:t>
      </w:r>
      <w:r>
        <w:rPr>
          <w:sz w:val="20"/>
          <w:szCs w:val="20"/>
          <w:rtl w:val="0"/>
        </w:rPr>
        <w:t xml:space="preserve"> - 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  <w:lang w:val="de-DE"/>
        </w:rPr>
        <w:t>Fixed Rate APR</w:t>
      </w:r>
      <w:r>
        <w:rPr>
          <w:sz w:val="20"/>
          <w:szCs w:val="20"/>
          <w:rtl w:val="0"/>
        </w:rPr>
        <w:t xml:space="preserve"> -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  <w:lang w:val="en-US"/>
        </w:rPr>
        <w:t>Variable Rate APR</w:t>
      </w:r>
      <w:r>
        <w:rPr>
          <w:sz w:val="20"/>
          <w:szCs w:val="20"/>
          <w:rtl w:val="0"/>
        </w:rPr>
        <w:t xml:space="preserve"> - 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b w:val="1"/>
          <w:bCs w:val="1"/>
          <w:color w:val="0056d5"/>
          <w:sz w:val="20"/>
          <w:szCs w:val="20"/>
          <w:u w:val="single"/>
        </w:rPr>
      </w:pPr>
      <w:r>
        <w:rPr>
          <w:b w:val="1"/>
          <w:bCs w:val="1"/>
          <w:color w:val="0056d5"/>
          <w:sz w:val="20"/>
          <w:szCs w:val="20"/>
          <w:u w:val="single"/>
          <w:rtl w:val="0"/>
          <w:lang w:val="nl-NL"/>
        </w:rPr>
        <w:t>Fees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  <w:lang w:val="en-US"/>
        </w:rPr>
        <w:t>Annual Fee</w:t>
      </w:r>
      <w:r>
        <w:rPr>
          <w:sz w:val="20"/>
          <w:szCs w:val="20"/>
          <w:rtl w:val="0"/>
        </w:rPr>
        <w:t xml:space="preserve"> - 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  <w:lang w:val="en-US"/>
        </w:rPr>
        <w:t>Return Payment</w:t>
      </w:r>
      <w:r>
        <w:rPr>
          <w:sz w:val="20"/>
          <w:szCs w:val="20"/>
          <w:rtl w:val="0"/>
        </w:rPr>
        <w:t xml:space="preserve">- 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  <w:lang w:val="en-US"/>
        </w:rPr>
        <w:t xml:space="preserve">Late Payment </w:t>
      </w:r>
      <w:r>
        <w:rPr>
          <w:sz w:val="20"/>
          <w:szCs w:val="20"/>
          <w:rtl w:val="0"/>
        </w:rPr>
        <w:t xml:space="preserve">- 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b w:val="1"/>
          <w:bCs w:val="1"/>
          <w:sz w:val="20"/>
          <w:szCs w:val="20"/>
          <w:rtl w:val="0"/>
          <w:lang w:val="en-US"/>
        </w:rPr>
        <w:t>Over-the-</w:t>
      </w:r>
      <w:r>
        <w:rPr>
          <w:b w:val="1"/>
          <w:bCs w:val="1"/>
          <w:sz w:val="20"/>
          <w:szCs w:val="20"/>
          <w:rtl w:val="0"/>
          <w:lang w:val="en-US"/>
        </w:rPr>
        <w:t xml:space="preserve">Credit </w:t>
      </w:r>
      <w:r>
        <w:rPr>
          <w:b w:val="1"/>
          <w:bCs w:val="1"/>
          <w:sz w:val="20"/>
          <w:szCs w:val="20"/>
          <w:rtl w:val="0"/>
          <w:lang w:val="de-DE"/>
        </w:rPr>
        <w:t xml:space="preserve">Limit </w:t>
      </w:r>
      <w:r>
        <w:rPr>
          <w:sz w:val="20"/>
          <w:szCs w:val="20"/>
          <w:rtl w:val="0"/>
        </w:rPr>
        <w:t xml:space="preserve">- 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ab/>
        <w:t xml:space="preserve">Foreign Transaction </w:t>
      </w: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  <w:u w:val="single"/>
        </w:rPr>
      </w:pPr>
      <w:r>
        <w:rPr>
          <w:b w:val="1"/>
          <w:bCs w:val="1"/>
          <w:sz w:val="20"/>
          <w:szCs w:val="20"/>
          <w:u w:val="single"/>
          <w:rtl w:val="0"/>
          <w:lang w:val="en-US"/>
        </w:rPr>
        <w:t>Calculating Interest</w:t>
      </w: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Daily Balance Method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